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2FD9AC">
      <w:pPr>
        <w:pStyle w:val="2"/>
      </w:pPr>
      <w:r>
        <w:rPr>
          <w:b/>
          <w:sz w:val="48"/>
        </w:rPr>
        <w:t>供应商报价系统使用手册</w:t>
      </w:r>
    </w:p>
    <w:p w14:paraId="4ED8D2FF">
      <w:pPr>
        <w:pStyle w:val="3"/>
        <w:jc w:val="center"/>
      </w:pPr>
      <w:bookmarkStart w:id="7" w:name="_GoBack"/>
      <w:bookmarkEnd w:id="7"/>
      <w:bookmarkStart w:id="0" w:name="mdqzcynq0i0wt4tqzrv4"/>
      <w:r>
        <w:rPr>
          <w:rFonts w:ascii="DingTalk JinBuTi" w:hAnsi="DingTalk JinBuTi" w:eastAsia="DingTalk JinBuTi" w:cs="DingTalk JinBuTi"/>
          <w:b w:val="0"/>
        </w:rPr>
        <w:t xml:space="preserve">1. 概述 </w:t>
      </w:r>
      <w:bookmarkEnd w:id="0"/>
    </w:p>
    <w:p w14:paraId="4473643B">
      <w:r>
        <w:t>本供应商报价系统是以</w:t>
      </w:r>
      <w:r>
        <w:rPr>
          <w:color w:val="000000"/>
          <w:sz w:val="24"/>
        </w:rPr>
        <w:t>钉钉船舶采购系统</w:t>
      </w:r>
      <w:r>
        <w:t>为内部采购执行入口，通过开放接口实现</w:t>
      </w:r>
      <w:r>
        <w:rPr>
          <w:color w:val="000000"/>
          <w:sz w:val="24"/>
        </w:rPr>
        <w:t>数据同源、流程贯通、权限互通</w:t>
      </w:r>
      <w:r>
        <w:t>，构建从采购需求→在线询价→供应商报价→订单下达全链路数字化采购协同闭环，提升寻源效率、降低采购成本、保障合规透明。</w:t>
      </w:r>
    </w:p>
    <w:p w14:paraId="18A39CAE">
      <w:pPr>
        <w:pStyle w:val="3"/>
        <w:jc w:val="center"/>
      </w:pPr>
      <w:bookmarkStart w:id="1" w:name="mdqzcynvwaxptkevq2"/>
      <w:r>
        <w:rPr>
          <w:rFonts w:ascii="DingTalk JinBuTi" w:hAnsi="DingTalk JinBuTi" w:eastAsia="DingTalk JinBuTi" w:cs="DingTalk JinBuTi"/>
          <w:b w:val="0"/>
        </w:rPr>
        <w:t xml:space="preserve"> 2. 系统登录 </w:t>
      </w:r>
      <w:bookmarkEnd w:id="1"/>
    </w:p>
    <w:p w14:paraId="7D7149CB">
      <w:pPr>
        <w:pStyle w:val="4"/>
      </w:pPr>
      <w:bookmarkStart w:id="2" w:name="mdqzcynvrs5x8kz8l8n"/>
      <w:r>
        <w:rPr>
          <w:b/>
        </w:rPr>
        <w:t>2.1 登录步骤</w:t>
      </w:r>
      <w:bookmarkEnd w:id="2"/>
    </w:p>
    <w:p w14:paraId="4CF4814F">
      <w:pPr>
        <w:numPr>
          <w:ilvl w:val="0"/>
          <w:numId w:val="1"/>
        </w:numPr>
      </w:pPr>
      <w:r>
        <w:rPr>
          <w:b/>
        </w:rPr>
        <w:t>打开浏览器</w:t>
      </w:r>
    </w:p>
    <w:p w14:paraId="35D01350">
      <w:pPr>
        <w:numPr>
          <w:ilvl w:val="1"/>
          <w:numId w:val="1"/>
        </w:numPr>
      </w:pPr>
      <w:r>
        <w:t>通过访问</w:t>
      </w:r>
      <w:r>
        <w:fldChar w:fldCharType="begin"/>
      </w:r>
      <w:r>
        <w:instrText xml:space="preserve"> HYPERLINK "https://hongtong.mini.bandaochina.com/backend/login.html" \h </w:instrText>
      </w:r>
      <w:r>
        <w:fldChar w:fldCharType="separate"/>
      </w:r>
      <w:r>
        <w:rPr>
          <w:rStyle w:val="9"/>
        </w:rPr>
        <w:t>https://hongtong.mini.bandaochina.com/backend/login.html</w:t>
      </w:r>
      <w:r>
        <w:rPr>
          <w:rStyle w:val="9"/>
        </w:rPr>
        <w:fldChar w:fldCharType="end"/>
      </w:r>
      <w:r>
        <w:t>进入登录页面</w:t>
      </w:r>
    </w:p>
    <w:p w14:paraId="117FF932">
      <w:pPr>
        <w:numPr>
          <w:ilvl w:val="1"/>
          <w:numId w:val="1"/>
        </w:numPr>
      </w:pPr>
      <w:r>
        <w:drawing>
          <wp:inline distT="0" distB="0" distL="0" distR="0">
            <wp:extent cx="7124700" cy="3506470"/>
            <wp:effectExtent l="0" t="0" r="0" b="0"/>
            <wp:docPr id="1" name="image.png"/>
            <wp:cNvGraphicFramePr/>
            <a:graphic xmlns:a="http://schemas.openxmlformats.org/drawingml/2006/main">
              <a:graphicData uri="http://schemas.openxmlformats.org/drawingml/2006/picture">
                <pic:pic xmlns:pic="http://schemas.openxmlformats.org/drawingml/2006/picture">
                  <pic:nvPicPr>
                    <pic:cNvPr id="1" name="image.png"/>
                    <pic:cNvPicPr/>
                  </pic:nvPicPr>
                  <pic:blipFill>
                    <a:blip r:embed="rId4"/>
                    <a:stretch>
                      <a:fillRect/>
                    </a:stretch>
                  </pic:blipFill>
                  <pic:spPr>
                    <a:xfrm>
                      <a:off x="0" y="0"/>
                      <a:ext cx="7124700" cy="3506688"/>
                    </a:xfrm>
                    <a:prstGeom prst="rect">
                      <a:avLst/>
                    </a:prstGeom>
                  </pic:spPr>
                </pic:pic>
              </a:graphicData>
            </a:graphic>
          </wp:inline>
        </w:drawing>
      </w:r>
    </w:p>
    <w:p w14:paraId="074340CB">
      <w:pPr>
        <w:numPr>
          <w:ilvl w:val="0"/>
          <w:numId w:val="1"/>
        </w:numPr>
      </w:pPr>
      <w:r>
        <w:rPr>
          <w:b/>
        </w:rPr>
        <w:t>供应商注册</w:t>
      </w:r>
    </w:p>
    <w:p w14:paraId="2FBBBC56">
      <w:pPr>
        <w:numPr>
          <w:ilvl w:val="1"/>
          <w:numId w:val="1"/>
        </w:numPr>
      </w:pPr>
      <w:r>
        <w:t>如已经拥有账号，可跳过注册步骤。</w:t>
      </w:r>
    </w:p>
    <w:p w14:paraId="5F582193">
      <w:pPr>
        <w:numPr>
          <w:ilvl w:val="1"/>
          <w:numId w:val="1"/>
        </w:numPr>
      </w:pPr>
      <w:r>
        <w:t>点击登录页面的立即注册，跳转到注册页面，需要填写公司名称、港口/服务区域、邮箱、币种、银行账户、营业执照、登录密码登进行注册。注册后需泓通审核人员进行审核，审核通过后便可进行登录，通知结果会发送到注册填写的邮箱内。</w:t>
      </w:r>
    </w:p>
    <w:p w14:paraId="7FCBC16F">
      <w:pPr>
        <w:numPr>
          <w:ilvl w:val="1"/>
          <w:numId w:val="1"/>
        </w:numPr>
      </w:pPr>
    </w:p>
    <w:p w14:paraId="0D40A7AE">
      <w:pPr>
        <w:numPr>
          <w:ilvl w:val="1"/>
          <w:numId w:val="1"/>
        </w:numPr>
      </w:pPr>
      <w:r>
        <w:drawing>
          <wp:inline distT="0" distB="0" distL="0" distR="0">
            <wp:extent cx="7124700" cy="3990340"/>
            <wp:effectExtent l="0" t="0" r="0" b="0"/>
            <wp:docPr id="2" name="image.png"/>
            <wp:cNvGraphicFramePr/>
            <a:graphic xmlns:a="http://schemas.openxmlformats.org/drawingml/2006/main">
              <a:graphicData uri="http://schemas.openxmlformats.org/drawingml/2006/picture">
                <pic:pic xmlns:pic="http://schemas.openxmlformats.org/drawingml/2006/picture">
                  <pic:nvPicPr>
                    <pic:cNvPr id="2" name="image.png"/>
                    <pic:cNvPicPr/>
                  </pic:nvPicPr>
                  <pic:blipFill>
                    <a:blip r:embed="rId5"/>
                    <a:stretch>
                      <a:fillRect/>
                    </a:stretch>
                  </pic:blipFill>
                  <pic:spPr>
                    <a:xfrm>
                      <a:off x="0" y="0"/>
                      <a:ext cx="7124700" cy="3990951"/>
                    </a:xfrm>
                    <a:prstGeom prst="rect">
                      <a:avLst/>
                    </a:prstGeom>
                  </pic:spPr>
                </pic:pic>
              </a:graphicData>
            </a:graphic>
          </wp:inline>
        </w:drawing>
      </w:r>
    </w:p>
    <w:p w14:paraId="6439904C">
      <w:pPr>
        <w:numPr>
          <w:ilvl w:val="1"/>
          <w:numId w:val="1"/>
        </w:numPr>
      </w:pPr>
    </w:p>
    <w:p w14:paraId="0D2D8949">
      <w:pPr>
        <w:numPr>
          <w:ilvl w:val="1"/>
          <w:numId w:val="1"/>
        </w:numPr>
      </w:pPr>
      <w:r>
        <w:t>注册时当选择币种为RMB（默认币种为RMB）时需要填写银行账户，当币种更改为USD时需要填写SWIFT CODE.</w:t>
      </w:r>
    </w:p>
    <w:p w14:paraId="3FE6A704">
      <w:pPr>
        <w:numPr>
          <w:ilvl w:val="1"/>
          <w:numId w:val="1"/>
        </w:numPr>
      </w:pPr>
      <w:r>
        <w:drawing>
          <wp:inline distT="0" distB="0" distL="0" distR="0">
            <wp:extent cx="7124700" cy="3919855"/>
            <wp:effectExtent l="0" t="0" r="0" b="0"/>
            <wp:docPr id="3" name="image.png"/>
            <wp:cNvGraphicFramePr/>
            <a:graphic xmlns:a="http://schemas.openxmlformats.org/drawingml/2006/main">
              <a:graphicData uri="http://schemas.openxmlformats.org/drawingml/2006/picture">
                <pic:pic xmlns:pic="http://schemas.openxmlformats.org/drawingml/2006/picture">
                  <pic:nvPicPr>
                    <pic:cNvPr id="3" name="image.png"/>
                    <pic:cNvPicPr/>
                  </pic:nvPicPr>
                  <pic:blipFill>
                    <a:blip r:embed="rId6"/>
                    <a:stretch>
                      <a:fillRect/>
                    </a:stretch>
                  </pic:blipFill>
                  <pic:spPr>
                    <a:xfrm>
                      <a:off x="0" y="0"/>
                      <a:ext cx="7124700" cy="3919993"/>
                    </a:xfrm>
                    <a:prstGeom prst="rect">
                      <a:avLst/>
                    </a:prstGeom>
                  </pic:spPr>
                </pic:pic>
              </a:graphicData>
            </a:graphic>
          </wp:inline>
        </w:drawing>
      </w:r>
    </w:p>
    <w:p w14:paraId="6A5D8E31">
      <w:pPr>
        <w:numPr>
          <w:ilvl w:val="1"/>
          <w:numId w:val="1"/>
        </w:numPr>
      </w:pPr>
      <w:r>
        <w:drawing>
          <wp:inline distT="0" distB="0" distL="0" distR="0">
            <wp:extent cx="7124700" cy="4035425"/>
            <wp:effectExtent l="0" t="0" r="0" b="0"/>
            <wp:docPr id="4" name="image.png"/>
            <wp:cNvGraphicFramePr/>
            <a:graphic xmlns:a="http://schemas.openxmlformats.org/drawingml/2006/main">
              <a:graphicData uri="http://schemas.openxmlformats.org/drawingml/2006/picture">
                <pic:pic xmlns:pic="http://schemas.openxmlformats.org/drawingml/2006/picture">
                  <pic:nvPicPr>
                    <pic:cNvPr id="4" name="image.png"/>
                    <pic:cNvPicPr/>
                  </pic:nvPicPr>
                  <pic:blipFill>
                    <a:blip r:embed="rId7"/>
                    <a:stretch>
                      <a:fillRect/>
                    </a:stretch>
                  </pic:blipFill>
                  <pic:spPr>
                    <a:xfrm>
                      <a:off x="0" y="0"/>
                      <a:ext cx="7124700" cy="4035470"/>
                    </a:xfrm>
                    <a:prstGeom prst="rect">
                      <a:avLst/>
                    </a:prstGeom>
                  </pic:spPr>
                </pic:pic>
              </a:graphicData>
            </a:graphic>
          </wp:inline>
        </w:drawing>
      </w:r>
    </w:p>
    <w:p w14:paraId="1E9A1018">
      <w:pPr>
        <w:numPr>
          <w:ilvl w:val="1"/>
          <w:numId w:val="1"/>
        </w:numPr>
      </w:pPr>
    </w:p>
    <w:p w14:paraId="1DD17443">
      <w:pPr>
        <w:numPr>
          <w:ilvl w:val="1"/>
          <w:numId w:val="1"/>
        </w:numPr>
      </w:pPr>
      <w:r>
        <w:drawing>
          <wp:inline distT="0" distB="0" distL="0" distR="0">
            <wp:extent cx="7124700" cy="3907155"/>
            <wp:effectExtent l="0" t="0" r="0" b="0"/>
            <wp:docPr id="5" name="image.png"/>
            <wp:cNvGraphicFramePr/>
            <a:graphic xmlns:a="http://schemas.openxmlformats.org/drawingml/2006/main">
              <a:graphicData uri="http://schemas.openxmlformats.org/drawingml/2006/picture">
                <pic:pic xmlns:pic="http://schemas.openxmlformats.org/drawingml/2006/picture">
                  <pic:nvPicPr>
                    <pic:cNvPr id="5" name="image.png"/>
                    <pic:cNvPicPr/>
                  </pic:nvPicPr>
                  <pic:blipFill>
                    <a:blip r:embed="rId8"/>
                    <a:stretch>
                      <a:fillRect/>
                    </a:stretch>
                  </pic:blipFill>
                  <pic:spPr>
                    <a:xfrm>
                      <a:off x="0" y="0"/>
                      <a:ext cx="7124700" cy="3907459"/>
                    </a:xfrm>
                    <a:prstGeom prst="rect">
                      <a:avLst/>
                    </a:prstGeom>
                  </pic:spPr>
                </pic:pic>
              </a:graphicData>
            </a:graphic>
          </wp:inline>
        </w:drawing>
      </w:r>
    </w:p>
    <w:p w14:paraId="604D9233"/>
    <w:p w14:paraId="18E5FF8C">
      <w:pPr>
        <w:numPr>
          <w:ilvl w:val="0"/>
          <w:numId w:val="1"/>
        </w:numPr>
      </w:pPr>
      <w:r>
        <w:rPr>
          <w:b/>
        </w:rPr>
        <w:t>供应商登录</w:t>
      </w:r>
    </w:p>
    <w:p w14:paraId="7C3DFF4A">
      <w:pPr>
        <w:numPr>
          <w:ilvl w:val="1"/>
          <w:numId w:val="1"/>
        </w:numPr>
      </w:pPr>
      <w:r>
        <w:rPr>
          <w:b/>
        </w:rPr>
        <w:t>填写邮箱和密码进行登录</w:t>
      </w:r>
    </w:p>
    <w:p w14:paraId="76670F22">
      <w:pPr>
        <w:numPr>
          <w:ilvl w:val="1"/>
          <w:numId w:val="1"/>
        </w:numPr>
      </w:pPr>
      <w:r>
        <w:drawing>
          <wp:inline distT="0" distB="0" distL="0" distR="0">
            <wp:extent cx="7124700" cy="3506470"/>
            <wp:effectExtent l="0" t="0" r="0" b="0"/>
            <wp:docPr id="6" name="image.png"/>
            <wp:cNvGraphicFramePr/>
            <a:graphic xmlns:a="http://schemas.openxmlformats.org/drawingml/2006/main">
              <a:graphicData uri="http://schemas.openxmlformats.org/drawingml/2006/picture">
                <pic:pic xmlns:pic="http://schemas.openxmlformats.org/drawingml/2006/picture">
                  <pic:nvPicPr>
                    <pic:cNvPr id="6" name="image.png"/>
                    <pic:cNvPicPr/>
                  </pic:nvPicPr>
                  <pic:blipFill>
                    <a:blip r:embed="rId9"/>
                    <a:stretch>
                      <a:fillRect/>
                    </a:stretch>
                  </pic:blipFill>
                  <pic:spPr>
                    <a:xfrm>
                      <a:off x="0" y="0"/>
                      <a:ext cx="7124700" cy="3506688"/>
                    </a:xfrm>
                    <a:prstGeom prst="rect">
                      <a:avLst/>
                    </a:prstGeom>
                  </pic:spPr>
                </pic:pic>
              </a:graphicData>
            </a:graphic>
          </wp:inline>
        </w:drawing>
      </w:r>
    </w:p>
    <w:p w14:paraId="2AB29709">
      <w:pPr>
        <w:numPr>
          <w:ilvl w:val="0"/>
          <w:numId w:val="2"/>
        </w:numPr>
      </w:pPr>
      <w:r>
        <w:rPr>
          <w:b/>
        </w:rPr>
        <w:t>修改密码</w:t>
      </w:r>
    </w:p>
    <w:p w14:paraId="3175512E">
      <w:pPr>
        <w:numPr>
          <w:ilvl w:val="1"/>
          <w:numId w:val="3"/>
        </w:numPr>
      </w:pPr>
      <w:r>
        <w:rPr>
          <w:b/>
        </w:rPr>
        <w:t>如果忘记密码或者想要修改密码，可通过点击忘记密码进行修改</w:t>
      </w:r>
    </w:p>
    <w:p w14:paraId="52618037">
      <w:pPr>
        <w:numPr>
          <w:ilvl w:val="1"/>
          <w:numId w:val="3"/>
        </w:numPr>
      </w:pPr>
      <w:r>
        <w:drawing>
          <wp:inline distT="0" distB="0" distL="0" distR="0">
            <wp:extent cx="7124700" cy="3579495"/>
            <wp:effectExtent l="0" t="0" r="0" b="0"/>
            <wp:docPr id="7" name="image.png"/>
            <wp:cNvGraphicFramePr/>
            <a:graphic xmlns:a="http://schemas.openxmlformats.org/drawingml/2006/main">
              <a:graphicData uri="http://schemas.openxmlformats.org/drawingml/2006/picture">
                <pic:pic xmlns:pic="http://schemas.openxmlformats.org/drawingml/2006/picture">
                  <pic:nvPicPr>
                    <pic:cNvPr id="7" name="image.png"/>
                    <pic:cNvPicPr/>
                  </pic:nvPicPr>
                  <pic:blipFill>
                    <a:blip r:embed="rId10"/>
                    <a:stretch>
                      <a:fillRect/>
                    </a:stretch>
                  </pic:blipFill>
                  <pic:spPr>
                    <a:xfrm>
                      <a:off x="0" y="0"/>
                      <a:ext cx="7124700" cy="3579849"/>
                    </a:xfrm>
                    <a:prstGeom prst="rect">
                      <a:avLst/>
                    </a:prstGeom>
                  </pic:spPr>
                </pic:pic>
              </a:graphicData>
            </a:graphic>
          </wp:inline>
        </w:drawing>
      </w:r>
    </w:p>
    <w:p w14:paraId="18D40531">
      <w:pPr>
        <w:numPr>
          <w:ilvl w:val="1"/>
          <w:numId w:val="3"/>
        </w:numPr>
      </w:pPr>
      <w:r>
        <w:drawing>
          <wp:inline distT="0" distB="0" distL="0" distR="0">
            <wp:extent cx="7124700" cy="3616325"/>
            <wp:effectExtent l="0" t="0" r="0" b="0"/>
            <wp:docPr id="8" name="image.png"/>
            <wp:cNvGraphicFramePr/>
            <a:graphic xmlns:a="http://schemas.openxmlformats.org/drawingml/2006/main">
              <a:graphicData uri="http://schemas.openxmlformats.org/drawingml/2006/picture">
                <pic:pic xmlns:pic="http://schemas.openxmlformats.org/drawingml/2006/picture">
                  <pic:nvPicPr>
                    <pic:cNvPr id="8" name="image.png"/>
                    <pic:cNvPicPr/>
                  </pic:nvPicPr>
                  <pic:blipFill>
                    <a:blip r:embed="rId11"/>
                    <a:stretch>
                      <a:fillRect/>
                    </a:stretch>
                  </pic:blipFill>
                  <pic:spPr>
                    <a:xfrm>
                      <a:off x="0" y="0"/>
                      <a:ext cx="7124700" cy="3616325"/>
                    </a:xfrm>
                    <a:prstGeom prst="rect">
                      <a:avLst/>
                    </a:prstGeom>
                  </pic:spPr>
                </pic:pic>
              </a:graphicData>
            </a:graphic>
          </wp:inline>
        </w:drawing>
      </w:r>
    </w:p>
    <w:p w14:paraId="236E70E1"/>
    <w:p w14:paraId="4852A1A7">
      <w:pPr>
        <w:pStyle w:val="3"/>
        <w:jc w:val="center"/>
        <w:rPr>
          <w:rFonts w:hint="eastAsia" w:eastAsia="宋体"/>
          <w:lang w:val="en-US" w:eastAsia="zh-CN"/>
        </w:rPr>
      </w:pPr>
      <w:bookmarkStart w:id="3" w:name="mqvypz5qfq7pch3kqkj"/>
      <w:r>
        <w:rPr>
          <w:rFonts w:ascii="DingTalk JinBuTi" w:hAnsi="DingTalk JinBuTi" w:eastAsia="DingTalk JinBuTi" w:cs="DingTalk JinBuTi"/>
          <w:b w:val="0"/>
        </w:rPr>
        <w:t xml:space="preserve"> 3. 供应商报价 </w:t>
      </w:r>
      <w:bookmarkEnd w:id="3"/>
    </w:p>
    <w:p w14:paraId="632DD2C7">
      <w:pPr>
        <w:pStyle w:val="4"/>
      </w:pPr>
      <w:bookmarkStart w:id="4" w:name="mqvyrrccojbtkcetuqh"/>
      <w:r>
        <w:rPr>
          <w:b/>
        </w:rPr>
        <w:t>3.1 供应商报价</w:t>
      </w:r>
      <w:bookmarkEnd w:id="4"/>
    </w:p>
    <w:p w14:paraId="5FC94EAC">
      <w:pPr>
        <w:pStyle w:val="5"/>
        <w:spacing w:line="223" w:lineRule="auto"/>
        <w:ind w:firstLine="480"/>
      </w:pPr>
      <w:bookmarkStart w:id="5" w:name="mqvys03qxvd849y53ag"/>
      <w:r>
        <w:rPr>
          <w:b/>
          <w:sz w:val="24"/>
        </w:rPr>
        <w:t>报价列表</w:t>
      </w:r>
      <w:r>
        <w:t>：</w:t>
      </w:r>
      <w:bookmarkEnd w:id="5"/>
    </w:p>
    <w:p w14:paraId="135A3D7E">
      <w:pPr>
        <w:ind w:firstLine="480"/>
      </w:pPr>
      <w:r>
        <w:t>钉钉内部采购端发起报价后会在供应商端列表自动生成一条采购数据，同时会发送邮件到供应商的邮箱通知供应商进行报价。供应商可通过点击右键下方的链接或者登录平台进行报价。</w:t>
      </w:r>
    </w:p>
    <w:p w14:paraId="1BC83790">
      <w:pPr>
        <w:ind w:firstLine="480"/>
      </w:pPr>
      <w:r>
        <w:t>邮件样式：可点击下方按钮进行报价</w:t>
      </w:r>
    </w:p>
    <w:p w14:paraId="5C041E30">
      <w:pPr>
        <w:ind w:firstLine="480"/>
      </w:pPr>
      <w:r>
        <w:drawing>
          <wp:inline distT="0" distB="0" distL="0" distR="0">
            <wp:extent cx="2085975" cy="2857500"/>
            <wp:effectExtent l="0" t="0" r="0" b="0"/>
            <wp:docPr id="9" name="image.png"/>
            <wp:cNvGraphicFramePr/>
            <a:graphic xmlns:a="http://schemas.openxmlformats.org/drawingml/2006/main">
              <a:graphicData uri="http://schemas.openxmlformats.org/drawingml/2006/picture">
                <pic:pic xmlns:pic="http://schemas.openxmlformats.org/drawingml/2006/picture">
                  <pic:nvPicPr>
                    <pic:cNvPr id="9" name="image.png"/>
                    <pic:cNvPicPr/>
                  </pic:nvPicPr>
                  <pic:blipFill>
                    <a:blip r:embed="rId12"/>
                    <a:stretch>
                      <a:fillRect/>
                    </a:stretch>
                  </pic:blipFill>
                  <pic:spPr>
                    <a:xfrm>
                      <a:off x="0" y="0"/>
                      <a:ext cx="2085975" cy="2857500"/>
                    </a:xfrm>
                    <a:prstGeom prst="rect">
                      <a:avLst/>
                    </a:prstGeom>
                    <a:ln w="9525">
                      <a:solidFill>
                        <a:srgbClr val="000000"/>
                      </a:solidFill>
                    </a:ln>
                  </pic:spPr>
                </pic:pic>
              </a:graphicData>
            </a:graphic>
          </wp:inline>
        </w:drawing>
      </w:r>
    </w:p>
    <w:p w14:paraId="492D360E">
      <w:pPr>
        <w:ind w:firstLine="480"/>
      </w:pPr>
      <w:r>
        <w:t>列表点击报价按钮进行报价：</w:t>
      </w:r>
      <w:r>
        <w:drawing>
          <wp:inline distT="0" distB="0" distL="0" distR="0">
            <wp:extent cx="7124700" cy="3456305"/>
            <wp:effectExtent l="0" t="0" r="0" b="0"/>
            <wp:docPr id="10" name="image.png"/>
            <wp:cNvGraphicFramePr/>
            <a:graphic xmlns:a="http://schemas.openxmlformats.org/drawingml/2006/main">
              <a:graphicData uri="http://schemas.openxmlformats.org/drawingml/2006/picture">
                <pic:pic xmlns:pic="http://schemas.openxmlformats.org/drawingml/2006/picture">
                  <pic:nvPicPr>
                    <pic:cNvPr id="10" name="image.png"/>
                    <pic:cNvPicPr/>
                  </pic:nvPicPr>
                  <pic:blipFill>
                    <a:blip r:embed="rId13"/>
                    <a:stretch>
                      <a:fillRect/>
                    </a:stretch>
                  </pic:blipFill>
                  <pic:spPr>
                    <a:xfrm>
                      <a:off x="0" y="0"/>
                      <a:ext cx="7124700" cy="3456799"/>
                    </a:xfrm>
                    <a:prstGeom prst="rect">
                      <a:avLst/>
                    </a:prstGeom>
                  </pic:spPr>
                </pic:pic>
              </a:graphicData>
            </a:graphic>
          </wp:inline>
        </w:drawing>
      </w:r>
      <w:r>
        <w:t>进入报价后，供应商填写对应信息进行报价，报价分为两种方式：</w:t>
      </w:r>
    </w:p>
    <w:p w14:paraId="4347FBFD">
      <w:pPr>
        <w:numPr>
          <w:ilvl w:val="1"/>
          <w:numId w:val="4"/>
        </w:numPr>
      </w:pPr>
      <w:r>
        <w:t>直接在系统中填写报价信息</w:t>
      </w:r>
    </w:p>
    <w:p w14:paraId="67FC4E73">
      <w:pPr>
        <w:numPr>
          <w:ilvl w:val="1"/>
          <w:numId w:val="4"/>
        </w:numPr>
      </w:pPr>
      <w:r>
        <w:drawing>
          <wp:inline distT="0" distB="0" distL="0" distR="0">
            <wp:extent cx="7124700" cy="2326005"/>
            <wp:effectExtent l="0" t="0" r="0" b="0"/>
            <wp:docPr id="11" name="image.png"/>
            <wp:cNvGraphicFramePr/>
            <a:graphic xmlns:a="http://schemas.openxmlformats.org/drawingml/2006/main">
              <a:graphicData uri="http://schemas.openxmlformats.org/drawingml/2006/picture">
                <pic:pic xmlns:pic="http://schemas.openxmlformats.org/drawingml/2006/picture">
                  <pic:nvPicPr>
                    <pic:cNvPr id="11" name="image.png"/>
                    <pic:cNvPicPr/>
                  </pic:nvPicPr>
                  <pic:blipFill>
                    <a:blip r:embed="rId14"/>
                    <a:stretch>
                      <a:fillRect/>
                    </a:stretch>
                  </pic:blipFill>
                  <pic:spPr>
                    <a:xfrm>
                      <a:off x="0" y="0"/>
                      <a:ext cx="7124700" cy="2326517"/>
                    </a:xfrm>
                    <a:prstGeom prst="rect">
                      <a:avLst/>
                    </a:prstGeom>
                  </pic:spPr>
                </pic:pic>
              </a:graphicData>
            </a:graphic>
          </wp:inline>
        </w:drawing>
      </w:r>
    </w:p>
    <w:p w14:paraId="693293DD">
      <w:pPr>
        <w:numPr>
          <w:ilvl w:val="1"/>
          <w:numId w:val="4"/>
        </w:numPr>
      </w:pPr>
      <w:r>
        <w:t>通过导出所有信息，在excel表中填写完成后再导入系统</w:t>
      </w:r>
    </w:p>
    <w:p w14:paraId="36B640FC">
      <w:pPr>
        <w:numPr>
          <w:ilvl w:val="1"/>
          <w:numId w:val="4"/>
        </w:numPr>
      </w:pPr>
      <w:r>
        <w:drawing>
          <wp:inline distT="0" distB="0" distL="0" distR="0">
            <wp:extent cx="7124700" cy="2150745"/>
            <wp:effectExtent l="0" t="0" r="0" b="0"/>
            <wp:docPr id="12" name="image.png"/>
            <wp:cNvGraphicFramePr/>
            <a:graphic xmlns:a="http://schemas.openxmlformats.org/drawingml/2006/main">
              <a:graphicData uri="http://schemas.openxmlformats.org/drawingml/2006/picture">
                <pic:pic xmlns:pic="http://schemas.openxmlformats.org/drawingml/2006/picture">
                  <pic:nvPicPr>
                    <pic:cNvPr id="12" name="image.png"/>
                    <pic:cNvPicPr/>
                  </pic:nvPicPr>
                  <pic:blipFill>
                    <a:blip r:embed="rId15"/>
                    <a:stretch>
                      <a:fillRect/>
                    </a:stretch>
                  </pic:blipFill>
                  <pic:spPr>
                    <a:xfrm>
                      <a:off x="0" y="0"/>
                      <a:ext cx="7124700" cy="2150853"/>
                    </a:xfrm>
                    <a:prstGeom prst="rect">
                      <a:avLst/>
                    </a:prstGeom>
                  </pic:spPr>
                </pic:pic>
              </a:graphicData>
            </a:graphic>
          </wp:inline>
        </w:drawing>
      </w:r>
    </w:p>
    <w:p w14:paraId="691E257B">
      <w:pPr>
        <w:pStyle w:val="5"/>
        <w:spacing w:line="223" w:lineRule="auto"/>
      </w:pPr>
      <w:bookmarkStart w:id="6" w:name="mqvz7r9mwjt8tm1i98a"/>
      <w:r>
        <w:rPr>
          <w:b/>
          <w:sz w:val="24"/>
        </w:rPr>
        <w:t>报价状态解释：</w:t>
      </w:r>
      <w:bookmarkEnd w:id="6"/>
    </w:p>
    <w:p w14:paraId="4D8B386B"/>
    <w:p w14:paraId="167836FF">
      <w:pPr>
        <w:ind w:firstLine="480"/>
      </w:pPr>
      <w:r>
        <w:t>待供应商报价：采购提交采购需求后待供应商填写报价信息</w:t>
      </w:r>
    </w:p>
    <w:p w14:paraId="401103D2">
      <w:pPr>
        <w:ind w:firstLine="480"/>
      </w:pPr>
      <w:r>
        <w:t>供应商已提交报价：报价单提交后变为供应商已提交报价</w:t>
      </w:r>
    </w:p>
    <w:p w14:paraId="5F398AF1">
      <w:pPr>
        <w:ind w:firstLine="480"/>
      </w:pPr>
      <w:r>
        <w:t>未中标：供应商的报价信息未被采纳，结果会同步发送到邮箱</w:t>
      </w:r>
    </w:p>
    <w:p w14:paraId="2F9BD123">
      <w:pPr>
        <w:ind w:firstLine="480"/>
      </w:pPr>
      <w:r>
        <w:t>已中标：采购方与供应商达成合作，结果会同步发送到邮箱，进行合同签订和发货</w:t>
      </w:r>
    </w:p>
    <w:p w14:paraId="7234FCBF"/>
    <w:p w14:paraId="7FECFE69"/>
    <w:p w14:paraId="49F9672B"/>
    <w:p w14:paraId="1A4FD374">
      <w:pPr>
        <w:ind w:firstLine="480"/>
      </w:pPr>
    </w:p>
    <w:sectPr>
      <w:pgSz w:w="13380" w:h="16905"/>
      <w:pgMar w:top="720" w:right="1080" w:bottom="720" w:left="1080" w:header="850" w:footer="99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DingTalk JinBuT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05925"/>
    <w:multiLevelType w:val="multilevel"/>
    <w:tmpl w:val="BF205925"/>
    <w:lvl w:ilvl="0" w:tentative="0">
      <w:start w:val="0"/>
      <w:numFmt w:val="decimal"/>
      <w:lvlText w:val=""/>
      <w:lvlJc w:val="left"/>
    </w:lvl>
    <w:lvl w:ilvl="1" w:tentative="0">
      <w:start w:val="1"/>
      <w:numFmt w:val="lowerLetter"/>
      <w:lvlText w:val="%2."/>
      <w:lvlJc w:val="left"/>
      <w:pPr>
        <w:ind w:left="840" w:hanging="420"/>
      </w:pPr>
    </w:lvl>
  </w:abstractNum>
  <w:abstractNum w:abstractNumId="1">
    <w:nsid w:val="CF092B84"/>
    <w:multiLevelType w:val="singleLevel"/>
    <w:tmpl w:val="CF092B84"/>
    <w:lvl w:ilvl="0" w:tentative="0">
      <w:start w:val="4"/>
      <w:numFmt w:val="decimal"/>
      <w:lvlText w:val="%1."/>
      <w:lvlJc w:val="left"/>
      <w:pPr>
        <w:ind w:left="420" w:hanging="420"/>
      </w:pPr>
    </w:lvl>
  </w:abstractNum>
  <w:abstractNum w:abstractNumId="2">
    <w:nsid w:val="0053208E"/>
    <w:multiLevelType w:val="multilevel"/>
    <w:tmpl w:val="0053208E"/>
    <w:lvl w:ilvl="0" w:tentative="0">
      <w:start w:val="1"/>
      <w:numFmt w:val="decimal"/>
      <w:lvlText w:val="%1."/>
      <w:lvlJc w:val="left"/>
      <w:pPr>
        <w:ind w:left="420" w:hanging="420"/>
      </w:pPr>
    </w:lvl>
    <w:lvl w:ilvl="1" w:tentative="0">
      <w:start w:val="1"/>
      <w:numFmt w:val="bullet"/>
      <w:lvlText w:val="○"/>
      <w:lvlJc w:val="left"/>
      <w:pPr>
        <w:ind w:left="840" w:hanging="420"/>
      </w:pPr>
    </w:lvl>
  </w:abstractNum>
  <w:abstractNum w:abstractNumId="3">
    <w:nsid w:val="59ADCABA"/>
    <w:multiLevelType w:val="multilevel"/>
    <w:tmpl w:val="59ADCABA"/>
    <w:lvl w:ilvl="0" w:tentative="0">
      <w:start w:val="0"/>
      <w:numFmt w:val="decimal"/>
      <w:lvlText w:val=""/>
      <w:lvlJc w:val="left"/>
    </w:lvl>
    <w:lvl w:ilvl="1" w:tentative="0">
      <w:start w:val="1"/>
      <w:numFmt w:val="bullet"/>
      <w:lvlText w:val="○"/>
      <w:lvlJc w:val="left"/>
      <w:pPr>
        <w:ind w:left="840" w:hanging="42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7B81363"/>
    <w:rsid w:val="57A83934"/>
    <w:rsid w:val="5A5F25C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unhideWhenUsed="0" w:uiPriority="0" w:semiHidden="0" w:name="heading 2"/>
    <w:lsdException w:qFormat="1" w:unhideWhenUsed="0" w:uiPriority="0" w:semiHidden="0" w:name="heading 3"/>
    <w:lsdException w:qFormat="1" w:uiPriority="0" w:name="heading 4"/>
    <w:lsdException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rPr>
  </w:style>
  <w:style w:type="paragraph" w:styleId="2">
    <w:name w:val="heading 1"/>
    <w:qFormat/>
    <w:uiPriority w:val="0"/>
    <w:pPr>
      <w:keepNext/>
      <w:keepLines/>
      <w:spacing w:before="348" w:after="210"/>
    </w:pPr>
    <w:rPr>
      <w:rFonts w:asciiTheme="minorHAnsi" w:hAnsiTheme="minorHAnsi" w:eastAsiaTheme="minorEastAsia" w:cstheme="minorBidi"/>
      <w:b/>
      <w:kern w:val="2"/>
      <w:sz w:val="34"/>
    </w:rPr>
  </w:style>
  <w:style w:type="paragraph" w:styleId="3">
    <w:name w:val="heading 2"/>
    <w:uiPriority w:val="0"/>
    <w:pPr>
      <w:keepNext/>
      <w:keepLines/>
      <w:spacing w:before="348" w:after="190"/>
    </w:pPr>
    <w:rPr>
      <w:rFonts w:asciiTheme="minorHAnsi" w:hAnsiTheme="minorHAnsi" w:eastAsiaTheme="minorEastAsia" w:cstheme="minorBidi"/>
      <w:b/>
      <w:kern w:val="2"/>
      <w:sz w:val="28"/>
    </w:rPr>
  </w:style>
  <w:style w:type="paragraph" w:styleId="4">
    <w:name w:val="heading 3"/>
    <w:qFormat/>
    <w:uiPriority w:val="0"/>
    <w:pPr>
      <w:keepNext/>
      <w:keepLines/>
      <w:spacing w:before="348" w:after="170"/>
    </w:pPr>
    <w:rPr>
      <w:rFonts w:asciiTheme="minorHAnsi" w:hAnsiTheme="minorHAnsi" w:eastAsiaTheme="minorEastAsia" w:cstheme="minorBidi"/>
      <w:b/>
      <w:kern w:val="2"/>
      <w:sz w:val="22"/>
    </w:rPr>
  </w:style>
  <w:style w:type="paragraph" w:styleId="5">
    <w:name w:val="heading 5"/>
    <w:uiPriority w:val="0"/>
    <w:pPr>
      <w:keepNext/>
      <w:keepLines/>
      <w:spacing w:before="348" w:after="130"/>
    </w:pPr>
    <w:rPr>
      <w:rFonts w:asciiTheme="minorHAnsi" w:hAnsiTheme="minorHAnsi" w:eastAsiaTheme="minorEastAsia" w:cstheme="minorBidi"/>
      <w:b/>
      <w:kern w:val="2"/>
      <w:sz w:val="10"/>
    </w:rPr>
  </w:style>
  <w:style w:type="character" w:default="1" w:styleId="8">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table" w:styleId="7">
    <w:name w:val="Table Grid"/>
    <w:qFormat/>
    <w:uiPriority w:val="0"/>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style>
  <w:style w:type="character" w:styleId="9">
    <w:name w:val="Hyperlink"/>
    <w:uiPriority w:val="0"/>
    <w:rPr>
      <w:color w:val="0563C1"/>
      <w:u w:val="single"/>
    </w:rPr>
  </w:style>
  <w:style w:type="paragraph" w:customStyle="1" w:styleId="10">
    <w:name w:val="dingdocnormal"/>
    <w:uiPriority w:val="0"/>
    <w:rPr>
      <w:rFonts w:asciiTheme="minorHAnsi" w:hAnsiTheme="minorHAnsi" w:eastAsiaTheme="minorEastAsia" w:cstheme="minorBidi"/>
      <w:kern w:val="2"/>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Pages>
  <Words>716</Words>
  <Characters>796</Characters>
  <TotalTime>0</TotalTime>
  <ScaleCrop>false</ScaleCrop>
  <LinksUpToDate>false</LinksUpToDate>
  <CharactersWithSpaces>808</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1970-01-01T00:00:00Z</dcterms:created>
  <dc:creator>DingTalk</dc:creator>
  <dc:description>DingTalk Document</dc:description>
  <cp:lastModifiedBy>小猛</cp:lastModifiedBy>
  <dcterms:modified xsi:type="dcterms:W3CDTF">2026-08-24T02:04:25Z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eyJoZGlkIjoiMTc0N2M5MjNkMTg4ZDNmMWE3MWY3YjVlYTQwYmJhYjMiLCJ1c2VySWQiOiI0NDE3OTE4NjgifQ==</vt:lpwstr>
  </property>
  <property fmtid="{D5CDD505-2E9C-101B-9397-08002B2CF9AE}" pid="3" name="KSOProductBuildVer">
    <vt:lpwstr>2052-12.1.0.28043</vt:lpwstr>
  </property>
  <property fmtid="{D5CDD505-2E9C-101B-9397-08002B2CF9AE}" pid="4" name="ICV">
    <vt:lpwstr>D38B400AFF29495583BCACA311B283D4_12</vt:lpwstr>
  </property>
</Properties>
</file>